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市供销社202</w:t>
      </w:r>
      <w:r>
        <w:rPr>
          <w:rFonts w:hint="eastAsia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年度</w:t>
      </w:r>
      <w:r>
        <w:rPr>
          <w:rFonts w:hint="eastAsia" w:ascii="宋体" w:hAnsi="宋体" w:eastAsia="宋体" w:cs="宋体"/>
          <w:sz w:val="44"/>
          <w:szCs w:val="44"/>
        </w:rPr>
        <w:t>部门绩效</w:t>
      </w:r>
      <w:r>
        <w:rPr>
          <w:rFonts w:hint="eastAsia" w:hAnsi="宋体" w:cs="宋体"/>
          <w:sz w:val="44"/>
          <w:szCs w:val="44"/>
          <w:lang w:eastAsia="zh-CN"/>
        </w:rPr>
        <w:t>评价</w:t>
      </w:r>
      <w:r>
        <w:rPr>
          <w:rFonts w:hint="eastAsia" w:ascii="宋体" w:hAnsi="宋体" w:eastAsia="宋体" w:cs="宋体"/>
          <w:sz w:val="44"/>
          <w:szCs w:val="44"/>
        </w:rPr>
        <w:t>报告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firstLine="720" w:firstLineChars="200"/>
        <w:textAlignment w:val="auto"/>
        <w:outlineLvl w:val="9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根据宿州市财政局通知要求，我们对财政资金整体支出绩效进行了认真自评，总体自我评价是：财政资金预算配置合理合规，预算执行严格有序，预算管理规范可控，资金效益合乎预期。具体自评情况如下：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宿州市供销合作社联合社是全市供销合作社的联合组织。在市委市政府领导下，全市供销社坚持为农服务宗旨，认真宣传贯彻党和国家有关农村经济工作的方针政策，立足农村，服务“三农”，努力建设“新网工程”，着力发展合作经济，积极参与和推进农业产业化经营，是宿州市农业产业化六大主导产业牵头单位之一，为全市农村经济发展作出了积极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市供销社机关为参照《中华人民共和国公务员法》管理的市政府直属事业单位。内设机构7个，即：办公室、合作经济指导科、综合业务科、财务会计科、人事教育科、监察审计科、机关党委。直属事业单位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cs="仿宋_GB2312"/>
          <w:lang w:eastAsia="zh-CN"/>
        </w:rPr>
        <w:t>个，即市供销干部学校。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市供销社的主要职能和任务是：宣传贯彻党和国家有关农村经济工作的方针政策；研究制定全市供销社的发展规划，指导全市供销社基层组织建设；按照政府授权负责化肥、棉花等重要农业生产资料和农副产品经营的管理和协调，承担全市棉花产业化牵头单位职责；负责本系统再生资源、报废汽车拆解、烟花爆竹等特种行业的管理和协调；指导全市供销社体制改革，协调社员社之间、社员社和其他合作经济组织之间的关系促进改革和发展；协调同有关部门之间的关系，指导全市供销社业务活动，促进城乡物资交流；监管本级社社有资产，对直属企事业单位行使出资人职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</w:rPr>
        <w:t>二、部门预算执行和管理情况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2021年初宿州市供销合作社联合社部门预算为2854100元，上年结余0元，预算追加资金3121300元，全年经费收入5975400元。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2021年度支出合计5975400元，其中：基本支出4715400元；项目支出1260000元；上缴上级支出0元；经营支出0元；对附属单位补助支出0元。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2021年市社基本支出4715400元，其中：人员经费</w:t>
      </w:r>
      <w:r>
        <w:rPr>
          <w:rFonts w:hint="default" w:ascii="仿宋_GB2312" w:hAnsi="仿宋_GB2312" w:cs="仿宋_GB2312"/>
          <w:lang w:val="en-US" w:eastAsia="zh-CN"/>
        </w:rPr>
        <w:t>415.3万元，主要包括:基本工资、津贴补贴、伙食补助费、机关事业单位基本养老保险缴费、职业年金缴费、职工基本医疗保险缴费、公务员医疗补助缴费、住房公积金、其他工资福利支出、离休费、退休费、抚恤金、其他对个人和家庭的补助支出；公用经费56.24万元，主要包括：办公费、电费、邮电费、物业管理费、差旅费、维修（护）费、会议费、培训费、公务接待费、工会经费、其他交通费用、其他商品和服务支出。</w:t>
      </w:r>
      <w:r>
        <w:rPr>
          <w:rFonts w:hint="eastAsia" w:ascii="仿宋_GB2312" w:hAnsi="仿宋_GB2312" w:cs="仿宋_GB2312"/>
          <w:lang w:val="en-US" w:eastAsia="zh-CN"/>
        </w:rPr>
        <w:t>市社严格执行部门正常运行经费保障机制的相关规定，编足、编实基本支出年度预算，人员经费按编制内实有人数规定的政策标准进行编制，足额编制人员经费预算，不留缺口，公用经费本着“勤俭节约、保障运转”的原则，根据公用经费定额标准及单位实际开支水平足额编制。在年度预算执行中，全年无超范围、超标准发放津补贴、奖金的现象，未以任何名义违规发放个人补助，全年支出基本保障了机关的正常运转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83" w:leftChars="0" w:firstLine="643" w:firstLineChars="200"/>
        <w:textAlignment w:val="auto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项目支出绩效目标实现情况分析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2021年，纳入市社部门预算的专项资金32万元，其中为农服务中心建设费用12万元，业务经费20万元，市供销干校中专教育业务费2万元。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坚持专款专用的原则，严格财务管理，确保经费管理各个环节的畅通、有序、高效，合理预算、决算制度。有计划地使用资金，确保项目资金能达到预期效果。所有资金严格使用程序。每一笔支出由领导进行审批，确保资金在使用程序上严谨，确保每一笔资金的支付公开透明，充分接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</w:rPr>
        <w:t>四、部门整体绩效情况分析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81717" w:themeColor="background2" w:themeShade="1A"/>
          <w:lang w:val="en-US" w:eastAsia="zh-CN"/>
        </w:rPr>
      </w:pPr>
      <w:r>
        <w:rPr>
          <w:rFonts w:hint="eastAsia" w:ascii="仿宋_GB2312" w:hAnsi="仿宋_GB2312" w:cs="仿宋_GB2312"/>
          <w:color w:val="181717" w:themeColor="background2" w:themeShade="1A"/>
          <w:lang w:val="en-US" w:eastAsia="zh-CN"/>
        </w:rPr>
        <w:t xml:space="preserve"> 2021年，我单位根据2021年工作计划，认真履行职责，较好地完成了年初确定的各项工作任务。根据《部门整体支出绩效自评表》评分，全年绩效评价总评分为100分。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81717" w:themeColor="background2" w:themeShade="1A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Times New Roman"/>
          <w:b/>
          <w:color w:val="181717" w:themeColor="background2" w:themeShade="1A"/>
          <w:kern w:val="2"/>
          <w:sz w:val="32"/>
          <w:szCs w:val="32"/>
          <w:lang w:val="en-US" w:eastAsia="zh-CN" w:bidi="ar-SA"/>
        </w:rPr>
        <w:t>1.推进薄弱基层社改造，巩固基层服务阵地。</w:t>
      </w:r>
      <w:r>
        <w:rPr>
          <w:rFonts w:hint="eastAsia" w:ascii="仿宋_GB2312" w:hAnsi="仿宋_GB2312" w:eastAsia="仿宋_GB2312" w:cs="仿宋_GB2312"/>
          <w:b w:val="0"/>
          <w:bCs w:val="0"/>
          <w:color w:val="181717" w:themeColor="background2" w:themeShade="1A"/>
          <w:kern w:val="2"/>
          <w:sz w:val="32"/>
          <w:szCs w:val="32"/>
          <w:lang w:val="en-US" w:eastAsia="zh-CN" w:bidi="ar-SA"/>
        </w:rPr>
        <w:t>坚持把加强村级供销社建设，作为供销社基层组织建设整体工作的切入点和突破口，坚持一手抓老社改造升级，一手抓新社创建的工作思路，认真落实全省系统基层组织“526”提质扩面三年建设行动计划。因社施策改造升级薄弱基层社,加快将基层社打造成乡镇为农服务综合体,成为承接区域服务中心建设的主体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color w:val="181717" w:themeColor="background2" w:themeShade="1A"/>
          <w:szCs w:val="32"/>
        </w:rPr>
      </w:pPr>
      <w:r>
        <w:rPr>
          <w:rFonts w:hint="eastAsia" w:ascii="楷体_GB2312" w:eastAsia="楷体_GB2312" w:cs="Times New Roman"/>
          <w:b/>
          <w:color w:val="181717" w:themeColor="background2" w:themeShade="1A"/>
          <w:kern w:val="2"/>
          <w:sz w:val="32"/>
          <w:szCs w:val="32"/>
          <w:lang w:val="en-US" w:eastAsia="zh-CN" w:bidi="ar-SA"/>
        </w:rPr>
        <w:t>2.加快为农服务综合体建设</w:t>
      </w:r>
      <w:r>
        <w:rPr>
          <w:rFonts w:hint="eastAsia" w:ascii="楷体_GB2312" w:hAnsi="Times New Roman" w:eastAsia="楷体_GB2312" w:cs="Times New Roman"/>
          <w:b/>
          <w:color w:val="181717" w:themeColor="background2" w:themeShade="1A"/>
          <w:kern w:val="2"/>
          <w:sz w:val="32"/>
          <w:szCs w:val="32"/>
          <w:lang w:val="en-US" w:eastAsia="zh-CN" w:bidi="ar-SA"/>
        </w:rPr>
        <w:t>，增强为农服务功能。</w:t>
      </w:r>
      <w:r>
        <w:rPr>
          <w:rFonts w:hint="eastAsia" w:ascii="仿宋_GB2312" w:hAnsi="仿宋_GB2312" w:eastAsia="仿宋_GB2312" w:cs="仿宋_GB2312"/>
          <w:color w:val="181717" w:themeColor="background2" w:themeShade="1A"/>
          <w:kern w:val="2"/>
          <w:sz w:val="32"/>
          <w:szCs w:val="32"/>
          <w:lang w:val="en-US" w:eastAsia="zh-CN" w:bidi="ar-SA"/>
        </w:rPr>
        <w:t>今年来，各地积极开展基层社土地托管，为农户提供化肥、农药、种子，代耕代种、机播机收、统防统治等各种社</w:t>
      </w:r>
      <w:r>
        <w:rPr>
          <w:rFonts w:hint="eastAsia" w:ascii="仿宋_GB2312" w:hAnsi="Calibri" w:eastAsia="仿宋_GB2312" w:cs="Times New Roman"/>
          <w:color w:val="181717" w:themeColor="background2" w:themeShade="1A"/>
          <w:kern w:val="2"/>
          <w:sz w:val="32"/>
          <w:szCs w:val="32"/>
          <w:lang w:val="en-US" w:eastAsia="zh-CN" w:bidi="ar-SA"/>
        </w:rPr>
        <w:t>会化有偿服务，有效解决农民产前、产中、产后社会化服务中的难题，大力新建乡镇为农服务综合体建设。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left="0" w:leftChars="0" w:firstLine="643" w:firstLineChars="200"/>
        <w:textAlignment w:val="auto"/>
        <w:rPr>
          <w:rFonts w:hint="eastAsia" w:ascii="仿宋_GB2312" w:eastAsia="仿宋_GB2312"/>
          <w:color w:val="181717" w:themeColor="background2" w:themeShade="1A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181717" w:themeColor="background2" w:themeShade="1A"/>
          <w:sz w:val="32"/>
          <w:szCs w:val="32"/>
          <w:lang w:val="en-US" w:eastAsia="zh-CN"/>
        </w:rPr>
        <w:t>3.</w:t>
      </w:r>
      <w:r>
        <w:rPr>
          <w:rFonts w:hint="eastAsia" w:ascii="楷体_GB2312" w:hAnsi="Times New Roman" w:eastAsia="楷体_GB2312" w:cs="Times New Roman"/>
          <w:b/>
          <w:color w:val="181717" w:themeColor="background2" w:themeShade="1A"/>
          <w:kern w:val="2"/>
          <w:sz w:val="32"/>
          <w:szCs w:val="32"/>
          <w:lang w:val="en-US" w:eastAsia="zh-CN" w:bidi="ar-SA"/>
        </w:rPr>
        <w:t>构建经营网络体系</w:t>
      </w:r>
      <w:r>
        <w:rPr>
          <w:rFonts w:hint="eastAsia" w:ascii="楷体_GB2312" w:hAnsi="楷体" w:eastAsia="楷体_GB2312" w:cs="楷体"/>
          <w:b/>
          <w:bCs/>
          <w:color w:val="181717" w:themeColor="background2" w:themeShade="1A"/>
          <w:sz w:val="32"/>
          <w:szCs w:val="32"/>
        </w:rPr>
        <w:t>，拓宽经营服务领域。</w:t>
      </w:r>
      <w:r>
        <w:rPr>
          <w:rFonts w:hint="eastAsia" w:ascii="仿宋_GB2312" w:hAnsi="仿宋" w:eastAsia="仿宋_GB2312"/>
          <w:color w:val="181717" w:themeColor="background2" w:themeShade="1A"/>
          <w:sz w:val="32"/>
          <w:szCs w:val="32"/>
        </w:rPr>
        <w:t>通过改造经营网络，搭建服务“三农”平台，服务功能进一步完善。目前，全系统各类经营服务网点发展到5432个，覆盖全市90%的乡镇和85%的行政村，建成农副产品批发交易市场6处、连锁店2135家、培育发展农业产业化龙头企业18家。基本形成覆盖全市农业生产资料、日用消费品、农副产品、</w:t>
      </w:r>
      <w:r>
        <w:rPr>
          <w:rFonts w:hint="eastAsia" w:ascii="仿宋_GB2312" w:eastAsia="仿宋_GB2312"/>
          <w:color w:val="181717" w:themeColor="background2" w:themeShade="1A"/>
          <w:sz w:val="32"/>
          <w:szCs w:val="32"/>
        </w:rPr>
        <w:t>再生资源、烟花爆竹等六大经营服务网络，县、乡、村三级新农村现代流通网络体系进一步畅通。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仿宋_GB2312" w:hAnsi="Calibri" w:eastAsia="仿宋_GB2312" w:cs="Times New Roman"/>
          <w:color w:val="181717" w:themeColor="background2" w:themeShade="1A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181717" w:themeColor="background2" w:themeShade="1A"/>
          <w:kern w:val="2"/>
          <w:sz w:val="32"/>
          <w:szCs w:val="32"/>
          <w:lang w:val="en-US" w:eastAsia="zh-CN" w:bidi="ar-SA"/>
        </w:rPr>
        <w:t>4.创新服务模式，探索开展“三位一体”综合合作试点。</w:t>
      </w:r>
      <w:r>
        <w:rPr>
          <w:rFonts w:hint="eastAsia" w:ascii="仿宋_GB2312" w:hAnsi="Calibri" w:eastAsia="仿宋_GB2312" w:cs="Times New Roman"/>
          <w:color w:val="181717" w:themeColor="background2" w:themeShade="1A"/>
          <w:kern w:val="2"/>
          <w:sz w:val="32"/>
          <w:szCs w:val="32"/>
          <w:lang w:val="en-US" w:eastAsia="zh-CN" w:bidi="ar-SA"/>
        </w:rPr>
        <w:t>坚持以服务“三农”为出发点和落脚点，以联合合作为重点，以产业链条为纽带，以要素融合为核心，以共建平台为载体，根据省社制定出台的“三位一体”综合合作试点有关指导意见，引导有条件的基层组织探索开展生产、供销、信用“三位一体”综合合作，争取党委政府支持，汇聚各方资源，构建共同参与的综合合作新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/>
          <w:color w:val="181717" w:themeColor="background2" w:themeShade="1A"/>
          <w:lang w:val="en-US" w:eastAsia="zh-CN"/>
        </w:rPr>
      </w:pPr>
      <w:r>
        <w:rPr>
          <w:rFonts w:hint="eastAsia" w:ascii="仿宋_GB2312" w:cs="Times New Roman"/>
          <w:b/>
          <w:bCs/>
          <w:color w:val="181717" w:themeColor="background2" w:themeShade="1A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Times New Roman" w:eastAsia="仿宋_GB2312" w:cs="Times New Roman"/>
          <w:b/>
          <w:bCs/>
          <w:color w:val="181717" w:themeColor="background2" w:themeShade="1A"/>
          <w:kern w:val="2"/>
          <w:sz w:val="32"/>
          <w:szCs w:val="32"/>
          <w:lang w:val="en-US" w:eastAsia="zh-CN" w:bidi="ar-SA"/>
        </w:rPr>
        <w:t>.社有企业发展规模不断扩大。</w:t>
      </w:r>
      <w:r>
        <w:rPr>
          <w:rFonts w:hint="eastAsia" w:ascii="仿宋" w:hAnsi="仿宋" w:eastAsia="仿宋" w:cs="仿宋"/>
          <w:color w:val="181717" w:themeColor="background2" w:themeShade="1A"/>
          <w:sz w:val="32"/>
          <w:szCs w:val="32"/>
          <w:lang w:eastAsia="zh-CN"/>
        </w:rPr>
        <w:t>在巩固传统业务同时，顺应市场需求变化和产业发展趋势，加快配送中心、批发市场、产业联合体等建设，有效提升社有企业在流通领域的服务能力，扩大了网络覆盖面。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  <w:lang w:eastAsia="zh-CN"/>
        </w:rPr>
        <w:t>五、</w:t>
      </w:r>
      <w:r>
        <w:rPr>
          <w:rFonts w:hint="eastAsia" w:ascii="仿宋_GB2312" w:hAnsi="仿宋_GB2312" w:cs="仿宋_GB2312"/>
          <w:b/>
        </w:rPr>
        <w:t>绩效自评结果拟应用和公开情况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方正仿宋简体" w:eastAsia="仿宋_GB2312" w:cstheme="minorBidi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方正仿宋简体" w:eastAsia="仿宋_GB2312" w:cstheme="minorBidi"/>
          <w:color w:val="auto"/>
          <w:sz w:val="32"/>
          <w:szCs w:val="32"/>
          <w:lang w:val="en-US" w:eastAsia="zh-CN" w:bidi="ar-SA"/>
        </w:rPr>
        <w:t>此次绩效评价结果在市供销社系统内公开，并将作为本部门安排预算、完善政策和改进管理的重要依据，对自评过程中发现的问题及时梳理，立行立改。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200"/>
        <w:textAlignment w:val="auto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  <w:lang w:eastAsia="zh-CN"/>
        </w:rPr>
        <w:t>六、</w:t>
      </w:r>
      <w:r>
        <w:rPr>
          <w:rFonts w:hint="eastAsia" w:ascii="仿宋_GB2312" w:hAnsi="仿宋_GB2312" w:cs="仿宋_GB2312"/>
          <w:b/>
        </w:rPr>
        <w:t>绩效自评工作开展情况、存在问题和下一步措施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根据有关文件通知，市供销社开展</w:t>
      </w:r>
      <w:r>
        <w:rPr>
          <w:rFonts w:hint="eastAsia" w:ascii="仿宋_GB2312" w:hAnsi="仿宋_GB2312" w:cs="仿宋_GB2312"/>
          <w:lang w:val="en-US" w:eastAsia="zh-CN"/>
        </w:rPr>
        <w:t>2021年度绩效自评工作。充分结合2021年初预算，年终决算数据，由机关财务工作人员收集数据，分管领导审核把关，自评工作得到了初步成效。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仿宋_GB2312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有些改革政策落实还不到位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缺乏可操作的具体办法。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项目单位对项目管理的重视程度有待进一步提高，没有进行专门的项目管理。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b/>
          <w:sz w:val="32"/>
          <w:szCs w:val="32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资金投入不足。市县两级财政涉农资金，供销社系统占比太小，为农服务基础设施较薄弱。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b/>
          <w:sz w:val="32"/>
          <w:szCs w:val="32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社有企业实力不强，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专业人才严重不足，使得具体工作难以高效进行，相关企业</w:t>
      </w:r>
      <w:r>
        <w:rPr>
          <w:rFonts w:hint="eastAsia" w:ascii="仿宋_GB2312" w:hAnsi="仿宋" w:eastAsia="仿宋_GB2312"/>
          <w:sz w:val="32"/>
          <w:szCs w:val="32"/>
        </w:rPr>
        <w:t>在市场经济条件下难以开展有力竞争。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3" w:firstLineChars="200"/>
        <w:textAlignment w:val="auto"/>
        <w:rPr>
          <w:rFonts w:hint="eastAsia" w:ascii="仿宋_GB2312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下一步措施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  <w:t>针对存在的问题，市社拟采取以下几方面措施加以改进：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  <w:t>加强预算绩效管理。进一步加强预算资金管理，减少预算资金使用的随意性，对预算的事前、事中、事后进行全过程控制，加大对预算编制与执行的监督管理力度，提高预算资金使用效率。同时，提高市社财务工作人员对预算资金使用效益的认识，把预算资金是否发挥使用效益与各岗位是否履职尽责相结合，对预算外经费精细测算支出额度，把需求核准核实，充分发挥财政资金的效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  <w:t>全面实行公务卡结算制度。党政机关国内发生的公务差旅费、公务接待费、公务用车购置及运行费、会议费、培训费等经费支出，除按规定实行财政直接支付或者银行转账外，应当使用公务卡结算。加强资金支付管理，严格按照相关规定，控制现金支付范围，对现金支付范围以外的支出项目应按规定进行转账支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  <w:t>加强项目实施监控。加强对项目实施进度的实时监控，要求有关企事业单位对项目实施过程中的进度异常，实施范围调整等及时报批或备案。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cstheme="minorBidi"/>
          <w:b/>
          <w:bCs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 w:bidi="ar-SA"/>
        </w:rPr>
        <w:t>深化改革、引进人才。继续突出工作重点，集聚改革资源，大胆创新，强化政策支持，高位推进供销合作社综合改革。争取财政资金支持，逐步扩大“新农村现代流通网络工程”建设规模。积极通过公务员招录、轮岗等方式引进专业人才，充实市供销社人员队伍，提升整体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-56" w:firstLine="640" w:firstLineChars="200"/>
        <w:textAlignment w:val="auto"/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textAlignment w:val="auto"/>
      </w:pPr>
    </w:p>
    <w:p/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800" w:firstLineChars="1500"/>
        <w:textAlignment w:val="auto"/>
        <w:rPr>
          <w:rFonts w:hint="default" w:ascii="仿宋_GB2312" w:hAnsi="仿宋" w:eastAsia="仿宋_GB2312" w:cstheme="minorBidi"/>
          <w:b w:val="0"/>
          <w:bCs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154" w:right="1531" w:bottom="1587" w:left="1587" w:header="851" w:footer="1417" w:gutter="0"/>
      <w:pgNumType w:fmt="decimal" w:start="4"/>
      <w:cols w:space="720" w:num="1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34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34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9685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20955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5.5pt;width:9.05pt;mso-position-horizontal:center;mso-position-horizontal-relative:margin;mso-wrap-style:none;z-index:251659264;v-text-anchor:middle;mso-width-relative:page;mso-height-relative:page;" filled="f" stroked="f" coordsize="21600,21600" o:gfxdata="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zxqSNIAAAADAQAADwAAAAAAAAABACAAAAAiAAAAZHJzL2Rvd25yZXYueG1s&#10;UEsBAhQAFAAAAAgAh07iQC3R6aA3AgAAXwQAAA4AAAAAAAAAAQAgAAAAIQEAAGRycy9lMm9Eb2Mu&#10;eG1sUEsFBgAAAAAGAAYAWQEAAM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000000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10C2FB"/>
    <w:multiLevelType w:val="singleLevel"/>
    <w:tmpl w:val="5110C2FB"/>
    <w:lvl w:ilvl="0" w:tentative="0">
      <w:start w:val="3"/>
      <w:numFmt w:val="chineseCounting"/>
      <w:suff w:val="nothing"/>
      <w:lvlText w:val="%1、"/>
      <w:lvlJc w:val="left"/>
      <w:pPr>
        <w:ind w:left="483" w:leftChars="0" w:firstLine="0" w:firstLineChars="0"/>
      </w:pPr>
      <w:rPr>
        <w:rFonts w:hint="eastAsia"/>
      </w:rPr>
    </w:lvl>
  </w:abstractNum>
  <w:abstractNum w:abstractNumId="1">
    <w:nsid w:val="51F81DD0"/>
    <w:multiLevelType w:val="singleLevel"/>
    <w:tmpl w:val="51F81D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GY2YzE0OWRkNTZkYzUxOGI3NGZjNGY4ZjYwZjk1OWMifQ=="/>
  </w:docVars>
  <w:rsids>
    <w:rsidRoot w:val="00000000"/>
    <w:rsid w:val="08615591"/>
    <w:rsid w:val="0D3C3355"/>
    <w:rsid w:val="1B1B236D"/>
    <w:rsid w:val="246A7FCB"/>
    <w:rsid w:val="29B8153B"/>
    <w:rsid w:val="3E4839C8"/>
    <w:rsid w:val="40097472"/>
    <w:rsid w:val="40716DE7"/>
    <w:rsid w:val="48A30974"/>
    <w:rsid w:val="50335A20"/>
    <w:rsid w:val="5C573618"/>
    <w:rsid w:val="5DA8032E"/>
    <w:rsid w:val="5EC278DD"/>
    <w:rsid w:val="6C967EA1"/>
    <w:rsid w:val="6CA62D94"/>
    <w:rsid w:val="6E294B63"/>
    <w:rsid w:val="79137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qFormat="1" w:unhideWhenUsed="0" w:uiPriority="151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spacing w:line="360" w:lineRule="auto"/>
      <w:jc w:val="both"/>
    </w:pPr>
    <w:rPr>
      <w:rFonts w:eastAsia="仿宋_GB2312" w:asciiTheme="minorHAnsi" w:hAnsiTheme="minorHAnsi" w:cstheme="minorBidi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2"/>
  </w:style>
  <w:style w:type="table" w:default="1" w:styleId="9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51"/>
    <w:pPr>
      <w:snapToGrid w:val="0"/>
      <w:spacing w:line="560" w:lineRule="atLeast"/>
      <w:ind w:firstLine="640"/>
    </w:p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Calibri" w:hAnsi="Calibri" w:eastAsia="宋体"/>
      <w:sz w:val="21"/>
    </w:rPr>
  </w:style>
  <w:style w:type="paragraph" w:styleId="5">
    <w:name w:val="footer"/>
    <w:basedOn w:val="1"/>
    <w:qFormat/>
    <w:uiPriority w:val="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153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8">
    <w:name w:val="Title"/>
    <w:basedOn w:val="1"/>
    <w:next w:val="1"/>
    <w:qFormat/>
    <w:uiPriority w:val="6"/>
    <w:pPr>
      <w:spacing w:before="240" w:after="60"/>
      <w:jc w:val="center"/>
      <w:outlineLvl w:val="0"/>
    </w:pPr>
    <w:rPr>
      <w:rFonts w:ascii="Cambria" w:hAnsi="Cambria" w:eastAsia="宋体"/>
      <w:b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办公自动化专用标题"/>
    <w:basedOn w:val="8"/>
    <w:qFormat/>
    <w:uiPriority w:val="154"/>
    <w:pPr>
      <w:spacing w:line="560" w:lineRule="atLeast"/>
    </w:pPr>
    <w:rPr>
      <w:rFonts w:ascii="宋体" w:hAnsi="Arial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3951</Words>
  <Characters>4126</Characters>
  <Lines>2</Lines>
  <Paragraphs>1</Paragraphs>
  <TotalTime>43</TotalTime>
  <ScaleCrop>false</ScaleCrop>
  <LinksUpToDate>false</LinksUpToDate>
  <CharactersWithSpaces>4139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2020-02-24T03:18:00Z</dcterms:created>
  <dc:creator>liulu</dc:creator>
  <cp:lastModifiedBy>Administrator</cp:lastModifiedBy>
  <cp:lastPrinted>2020-08-14T07:34:00Z</cp:lastPrinted>
  <dcterms:modified xsi:type="dcterms:W3CDTF">2022-12-16T04:35:22Z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D42F1AF3BF954B9190E0E8C7A21B9EF6</vt:lpwstr>
  </property>
</Properties>
</file>